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28F" w:rsidRPr="00A8128F" w:rsidRDefault="00A8128F" w:rsidP="00A8128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8128F">
        <w:rPr>
          <w:rFonts w:ascii="Times New Roman" w:eastAsia="Times New Roman" w:hAnsi="Times New Roman" w:cs="Times New Roman"/>
          <w:b/>
          <w:bCs/>
          <w:kern w:val="36"/>
          <w:sz w:val="48"/>
          <w:szCs w:val="48"/>
        </w:rPr>
        <w:t>Article Processing Charges (APC)</w:t>
      </w:r>
    </w:p>
    <w:p w:rsidR="00A8128F" w:rsidRPr="00A8128F" w:rsidRDefault="00A8128F" w:rsidP="00A8128F">
      <w:p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To support the sustainable operation of the journal and in line with our commitment to </w:t>
      </w:r>
      <w:r w:rsidRPr="00A8128F">
        <w:rPr>
          <w:rFonts w:ascii="Times New Roman" w:eastAsia="Times New Roman" w:hAnsi="Times New Roman" w:cs="Times New Roman"/>
          <w:b/>
          <w:bCs/>
          <w:sz w:val="24"/>
          <w:szCs w:val="24"/>
        </w:rPr>
        <w:t>open access publishing</w:t>
      </w:r>
      <w:r w:rsidRPr="00A8128F">
        <w:rPr>
          <w:rFonts w:ascii="Times New Roman" w:eastAsia="Times New Roman" w:hAnsi="Times New Roman" w:cs="Times New Roman"/>
          <w:sz w:val="24"/>
          <w:szCs w:val="24"/>
        </w:rPr>
        <w:t xml:space="preserve">, all articles published in the </w:t>
      </w:r>
      <w:proofErr w:type="spellStart"/>
      <w:r w:rsidRPr="00A8128F">
        <w:rPr>
          <w:rFonts w:ascii="Times New Roman" w:eastAsia="Times New Roman" w:hAnsi="Times New Roman" w:cs="Times New Roman"/>
          <w:b/>
          <w:bCs/>
          <w:sz w:val="24"/>
          <w:szCs w:val="24"/>
        </w:rPr>
        <w:t>PravidhiJournals</w:t>
      </w:r>
      <w:proofErr w:type="spellEnd"/>
      <w:r w:rsidRPr="00A8128F">
        <w:rPr>
          <w:rFonts w:ascii="Times New Roman" w:eastAsia="Times New Roman" w:hAnsi="Times New Roman" w:cs="Times New Roman"/>
          <w:b/>
          <w:bCs/>
          <w:sz w:val="24"/>
          <w:szCs w:val="24"/>
        </w:rPr>
        <w:t>  </w:t>
      </w:r>
      <w:r w:rsidRPr="00A8128F">
        <w:rPr>
          <w:rFonts w:ascii="Times New Roman" w:eastAsia="Times New Roman" w:hAnsi="Times New Roman" w:cs="Times New Roman"/>
          <w:sz w:val="24"/>
          <w:szCs w:val="24"/>
        </w:rPr>
        <w:t>are made freely and permanently accessible online immediately after publication.</w:t>
      </w:r>
    </w:p>
    <w:p w:rsidR="00A8128F" w:rsidRPr="00A8128F" w:rsidRDefault="00A8128F" w:rsidP="00A8128F">
      <w:p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To cover the costs associated with editorial processing, peer review management, production, and online hosting, authors are required to pay an </w:t>
      </w:r>
      <w:r w:rsidRPr="00A8128F">
        <w:rPr>
          <w:rFonts w:ascii="Times New Roman" w:eastAsia="Times New Roman" w:hAnsi="Times New Roman" w:cs="Times New Roman"/>
          <w:b/>
          <w:bCs/>
          <w:sz w:val="24"/>
          <w:szCs w:val="24"/>
        </w:rPr>
        <w:t>Article Processing Charge (APC)</w:t>
      </w:r>
      <w:r w:rsidRPr="00A8128F">
        <w:rPr>
          <w:rFonts w:ascii="Times New Roman" w:eastAsia="Times New Roman" w:hAnsi="Times New Roman" w:cs="Times New Roman"/>
          <w:sz w:val="24"/>
          <w:szCs w:val="24"/>
        </w:rPr>
        <w:t> after their manuscript has been </w:t>
      </w:r>
      <w:r w:rsidRPr="00A8128F">
        <w:rPr>
          <w:rFonts w:ascii="Times New Roman" w:eastAsia="Times New Roman" w:hAnsi="Times New Roman" w:cs="Times New Roman"/>
          <w:b/>
          <w:bCs/>
          <w:sz w:val="24"/>
          <w:szCs w:val="24"/>
        </w:rPr>
        <w:t>accepted for publication</w:t>
      </w:r>
      <w:r w:rsidRPr="00A8128F">
        <w:rPr>
          <w:rFonts w:ascii="Times New Roman" w:eastAsia="Times New Roman" w:hAnsi="Times New Roman" w:cs="Times New Roman"/>
          <w:sz w:val="24"/>
          <w:szCs w:val="24"/>
        </w:rPr>
        <w:t>.</w:t>
      </w:r>
    </w:p>
    <w:p w:rsidR="00A8128F" w:rsidRPr="00A8128F" w:rsidRDefault="00A8128F" w:rsidP="00A812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The APC for a paper is USD 30.</w:t>
      </w:r>
    </w:p>
    <w:p w:rsidR="00A8128F" w:rsidRPr="00A8128F" w:rsidRDefault="00A8128F" w:rsidP="00A812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For authors based in India, the APC is INR 6000.</w:t>
      </w:r>
    </w:p>
    <w:p w:rsidR="00A8128F" w:rsidRPr="00A8128F" w:rsidRDefault="00A8128F" w:rsidP="00A8128F">
      <w:p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Members of the </w:t>
      </w:r>
      <w:r w:rsidRPr="00A8128F">
        <w:rPr>
          <w:rFonts w:ascii="Times New Roman" w:eastAsia="Times New Roman" w:hAnsi="Times New Roman" w:cs="Times New Roman"/>
          <w:b/>
          <w:bCs/>
          <w:sz w:val="24"/>
          <w:szCs w:val="24"/>
        </w:rPr>
        <w:t xml:space="preserve">Editorial Board of Epochs </w:t>
      </w:r>
      <w:r w:rsidRPr="00A8128F">
        <w:rPr>
          <w:rFonts w:ascii="Times New Roman" w:eastAsia="Times New Roman" w:hAnsi="Times New Roman" w:cs="Times New Roman"/>
          <w:sz w:val="24"/>
          <w:szCs w:val="24"/>
        </w:rPr>
        <w:t>are exempt from paying the Article Processing Charge.</w:t>
      </w:r>
    </w:p>
    <w:p w:rsidR="00A8128F" w:rsidRPr="00A8128F" w:rsidRDefault="00A8128F" w:rsidP="00A8128F">
      <w:pPr>
        <w:spacing w:before="100" w:beforeAutospacing="1" w:after="100" w:afterAutospacing="1" w:line="240" w:lineRule="auto"/>
        <w:outlineLvl w:val="2"/>
        <w:rPr>
          <w:rFonts w:ascii="Times New Roman" w:eastAsia="Times New Roman" w:hAnsi="Times New Roman" w:cs="Times New Roman"/>
          <w:b/>
          <w:bCs/>
          <w:sz w:val="27"/>
          <w:szCs w:val="27"/>
        </w:rPr>
      </w:pPr>
      <w:r w:rsidRPr="00A8128F">
        <w:rPr>
          <w:rFonts w:ascii="Times New Roman" w:eastAsia="Times New Roman" w:hAnsi="Times New Roman" w:cs="Times New Roman"/>
          <w:b/>
          <w:bCs/>
          <w:sz w:val="27"/>
          <w:szCs w:val="27"/>
        </w:rPr>
        <w:t>Waiver and Discount Policy</w:t>
      </w:r>
    </w:p>
    <w:p w:rsidR="00A8128F" w:rsidRPr="00A8128F" w:rsidRDefault="00A8128F" w:rsidP="00A8128F">
      <w:p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Authors requesting </w:t>
      </w:r>
      <w:r w:rsidRPr="00A8128F">
        <w:rPr>
          <w:rFonts w:ascii="Times New Roman" w:eastAsia="Times New Roman" w:hAnsi="Times New Roman" w:cs="Times New Roman"/>
          <w:b/>
          <w:bCs/>
          <w:sz w:val="24"/>
          <w:szCs w:val="24"/>
        </w:rPr>
        <w:t>APC waivers or discounts</w:t>
      </w:r>
      <w:r w:rsidRPr="00A8128F">
        <w:rPr>
          <w:rFonts w:ascii="Times New Roman" w:eastAsia="Times New Roman" w:hAnsi="Times New Roman" w:cs="Times New Roman"/>
          <w:sz w:val="24"/>
          <w:szCs w:val="24"/>
        </w:rPr>
        <w:t> should indicate this at the time of manuscript submission. Requests made after the manuscript has been accepted may not be considered.</w:t>
      </w:r>
    </w:p>
    <w:p w:rsidR="00A8128F" w:rsidRPr="00A8128F" w:rsidRDefault="00A8128F" w:rsidP="00A8128F">
      <w:pPr>
        <w:spacing w:before="100" w:beforeAutospacing="1" w:after="100" w:afterAutospacing="1" w:line="240" w:lineRule="auto"/>
        <w:outlineLvl w:val="2"/>
        <w:rPr>
          <w:rFonts w:ascii="Times New Roman" w:eastAsia="Times New Roman" w:hAnsi="Times New Roman" w:cs="Times New Roman"/>
          <w:b/>
          <w:bCs/>
          <w:sz w:val="27"/>
          <w:szCs w:val="27"/>
        </w:rPr>
      </w:pPr>
      <w:r w:rsidRPr="00A8128F">
        <w:rPr>
          <w:rFonts w:ascii="Times New Roman" w:eastAsia="Times New Roman" w:hAnsi="Times New Roman" w:cs="Times New Roman"/>
          <w:b/>
          <w:bCs/>
          <w:sz w:val="27"/>
          <w:szCs w:val="27"/>
        </w:rPr>
        <w:t>What the APC Covers</w:t>
      </w:r>
    </w:p>
    <w:p w:rsidR="00A8128F" w:rsidRPr="00A8128F" w:rsidRDefault="00A8128F" w:rsidP="00A8128F">
      <w:p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The Article Processing Charge supports the costs associated with the publication process, including:</w:t>
      </w:r>
    </w:p>
    <w:p w:rsidR="00A8128F" w:rsidRPr="00A8128F" w:rsidRDefault="00A8128F" w:rsidP="00A812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Editorial management and manuscript handling</w:t>
      </w:r>
    </w:p>
    <w:p w:rsidR="00A8128F" w:rsidRPr="00A8128F" w:rsidRDefault="00A8128F" w:rsidP="00A812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Coordination of the peer-review process</w:t>
      </w:r>
    </w:p>
    <w:p w:rsidR="00A8128F" w:rsidRPr="00A8128F" w:rsidRDefault="00A8128F" w:rsidP="00A812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Copyediting and formatting of accepted manuscripts</w:t>
      </w:r>
    </w:p>
    <w:p w:rsidR="00A8128F" w:rsidRPr="00A8128F" w:rsidRDefault="00A8128F" w:rsidP="00A812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Typesetting and preparation of the final published article</w:t>
      </w:r>
    </w:p>
    <w:p w:rsidR="00A8128F" w:rsidRPr="00A8128F" w:rsidRDefault="00A8128F" w:rsidP="00A812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Online hosting, indexing preparation, and digital archiving</w:t>
      </w:r>
    </w:p>
    <w:p w:rsidR="00A8128F" w:rsidRPr="00A8128F" w:rsidRDefault="00A8128F" w:rsidP="00A812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Website maintenance and long-term accessibility of published articles</w:t>
      </w:r>
    </w:p>
    <w:p w:rsidR="00A8128F" w:rsidRPr="00A8128F" w:rsidRDefault="00A8128F" w:rsidP="00A8128F">
      <w:pPr>
        <w:spacing w:before="100" w:beforeAutospacing="1" w:after="100" w:afterAutospacing="1" w:line="240" w:lineRule="auto"/>
        <w:outlineLvl w:val="2"/>
        <w:rPr>
          <w:rFonts w:ascii="Times New Roman" w:eastAsia="Times New Roman" w:hAnsi="Times New Roman" w:cs="Times New Roman"/>
          <w:b/>
          <w:bCs/>
          <w:sz w:val="27"/>
          <w:szCs w:val="27"/>
        </w:rPr>
      </w:pPr>
      <w:r w:rsidRPr="00A8128F">
        <w:rPr>
          <w:rFonts w:ascii="Times New Roman" w:eastAsia="Times New Roman" w:hAnsi="Times New Roman" w:cs="Times New Roman"/>
          <w:b/>
          <w:bCs/>
          <w:sz w:val="27"/>
          <w:szCs w:val="27"/>
        </w:rPr>
        <w:t>Payment Policy</w:t>
      </w:r>
    </w:p>
    <w:p w:rsidR="00A8128F" w:rsidRPr="00A8128F" w:rsidRDefault="00A8128F" w:rsidP="00A8128F">
      <w:p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There are </w:t>
      </w:r>
      <w:r w:rsidRPr="00A8128F">
        <w:rPr>
          <w:rFonts w:ascii="Times New Roman" w:eastAsia="Times New Roman" w:hAnsi="Times New Roman" w:cs="Times New Roman"/>
          <w:b/>
          <w:bCs/>
          <w:sz w:val="24"/>
          <w:szCs w:val="24"/>
        </w:rPr>
        <w:t>no submission charges</w:t>
      </w:r>
      <w:r w:rsidRPr="00A8128F">
        <w:rPr>
          <w:rFonts w:ascii="Times New Roman" w:eastAsia="Times New Roman" w:hAnsi="Times New Roman" w:cs="Times New Roman"/>
          <w:sz w:val="24"/>
          <w:szCs w:val="24"/>
        </w:rPr>
        <w:t> for manuscripts submitted to the journal. The </w:t>
      </w:r>
      <w:r w:rsidRPr="00A8128F">
        <w:rPr>
          <w:rFonts w:ascii="Times New Roman" w:eastAsia="Times New Roman" w:hAnsi="Times New Roman" w:cs="Times New Roman"/>
          <w:b/>
          <w:bCs/>
          <w:sz w:val="24"/>
          <w:szCs w:val="24"/>
        </w:rPr>
        <w:t>APC is payable only after the manuscript has been accepted for publication</w:t>
      </w:r>
      <w:r w:rsidRPr="00A8128F">
        <w:rPr>
          <w:rFonts w:ascii="Times New Roman" w:eastAsia="Times New Roman" w:hAnsi="Times New Roman" w:cs="Times New Roman"/>
          <w:sz w:val="24"/>
          <w:szCs w:val="24"/>
        </w:rPr>
        <w:t> following the peer-review process.</w:t>
      </w:r>
    </w:p>
    <w:p w:rsidR="00A8128F" w:rsidRPr="00A8128F" w:rsidRDefault="00A8128F" w:rsidP="00A8128F">
      <w:p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Once an article is accepted and the APC has been paid, the fee is </w:t>
      </w:r>
      <w:r w:rsidRPr="00A8128F">
        <w:rPr>
          <w:rFonts w:ascii="Times New Roman" w:eastAsia="Times New Roman" w:hAnsi="Times New Roman" w:cs="Times New Roman"/>
          <w:b/>
          <w:bCs/>
          <w:sz w:val="24"/>
          <w:szCs w:val="24"/>
        </w:rPr>
        <w:t>non-refundable</w:t>
      </w:r>
      <w:r w:rsidRPr="00A8128F">
        <w:rPr>
          <w:rFonts w:ascii="Times New Roman" w:eastAsia="Times New Roman" w:hAnsi="Times New Roman" w:cs="Times New Roman"/>
          <w:sz w:val="24"/>
          <w:szCs w:val="24"/>
        </w:rPr>
        <w:t>.</w:t>
      </w:r>
    </w:p>
    <w:p w:rsidR="00A8128F" w:rsidRPr="00A8128F" w:rsidRDefault="00A8128F" w:rsidP="00A8128F">
      <w:p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t>Authors are strongly advised not to request withdrawal of the manuscript after acceptance, as the editorial and production process has already been completed. In such cases, the journal reserves the right to apply administrative charges or decline future submissions from the authors.</w:t>
      </w:r>
    </w:p>
    <w:p w:rsidR="00A8128F" w:rsidRPr="00A8128F" w:rsidRDefault="00A8128F" w:rsidP="00A8128F">
      <w:pPr>
        <w:spacing w:before="100" w:beforeAutospacing="1" w:after="100" w:afterAutospacing="1" w:line="240" w:lineRule="auto"/>
        <w:rPr>
          <w:rFonts w:ascii="Times New Roman" w:eastAsia="Times New Roman" w:hAnsi="Times New Roman" w:cs="Times New Roman"/>
          <w:sz w:val="24"/>
          <w:szCs w:val="24"/>
        </w:rPr>
      </w:pPr>
      <w:r w:rsidRPr="00A8128F">
        <w:rPr>
          <w:rFonts w:ascii="Times New Roman" w:eastAsia="Times New Roman" w:hAnsi="Times New Roman" w:cs="Times New Roman"/>
          <w:sz w:val="24"/>
          <w:szCs w:val="24"/>
        </w:rPr>
        <w:lastRenderedPageBreak/>
        <w:t>This APC policy ensures the sustainability of the journal while promoting the wide dissemination and accessibility of high-quality research in mathematical sciences.</w:t>
      </w:r>
    </w:p>
    <w:p w:rsidR="00A13EA0" w:rsidRDefault="00A13EA0">
      <w:bookmarkStart w:id="0" w:name="_GoBack"/>
      <w:bookmarkEnd w:id="0"/>
    </w:p>
    <w:sectPr w:rsidR="00A13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42A0"/>
    <w:multiLevelType w:val="multilevel"/>
    <w:tmpl w:val="5F385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FD365B"/>
    <w:multiLevelType w:val="multilevel"/>
    <w:tmpl w:val="0E121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28F"/>
    <w:rsid w:val="006831DB"/>
    <w:rsid w:val="00A13EA0"/>
    <w:rsid w:val="00A81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812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812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28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8128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812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128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812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812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28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8128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812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12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7977">
      <w:bodyDiv w:val="1"/>
      <w:marLeft w:val="0"/>
      <w:marRight w:val="0"/>
      <w:marTop w:val="0"/>
      <w:marBottom w:val="0"/>
      <w:divBdr>
        <w:top w:val="none" w:sz="0" w:space="0" w:color="auto"/>
        <w:left w:val="none" w:sz="0" w:space="0" w:color="auto"/>
        <w:bottom w:val="none" w:sz="0" w:space="0" w:color="auto"/>
        <w:right w:val="none" w:sz="0" w:space="0" w:color="auto"/>
      </w:divBdr>
      <w:divsChild>
        <w:div w:id="997541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2026-09-13T07:31:00Z</dcterms:created>
  <dcterms:modified xsi:type="dcterms:W3CDTF">2026-09-13T07:45:00Z</dcterms:modified>
</cp:coreProperties>
</file>